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2EF" w:rsidRDefault="007562EF" w:rsidP="007562EF">
      <w:pPr>
        <w:pStyle w:val="Ingenafstand"/>
        <w:rPr>
          <w:rFonts w:ascii="Times New Roman" w:hAnsi="Times New Roman" w:cs="Times New Roman"/>
          <w:sz w:val="24"/>
          <w:szCs w:val="24"/>
        </w:rPr>
      </w:pPr>
      <w:r>
        <w:rPr>
          <w:rFonts w:ascii="Times New Roman" w:hAnsi="Times New Roman" w:cs="Times New Roman"/>
          <w:sz w:val="24"/>
          <w:szCs w:val="24"/>
        </w:rPr>
        <w:t>FBB sommerste</w:t>
      </w:r>
      <w:r w:rsidRPr="00756DFE">
        <w:rPr>
          <w:rFonts w:ascii="Times New Roman" w:hAnsi="Times New Roman" w:cs="Times New Roman"/>
          <w:sz w:val="24"/>
          <w:szCs w:val="24"/>
        </w:rPr>
        <w:t>vne den 8. – 11.</w:t>
      </w:r>
      <w:r>
        <w:rPr>
          <w:rFonts w:ascii="Times New Roman" w:hAnsi="Times New Roman" w:cs="Times New Roman"/>
          <w:sz w:val="24"/>
          <w:szCs w:val="24"/>
        </w:rPr>
        <w:t xml:space="preserve"> juli 2016. Audnastrand.</w:t>
      </w:r>
    </w:p>
    <w:p w:rsidR="007562EF" w:rsidRPr="00452E41" w:rsidRDefault="007562EF" w:rsidP="007562EF">
      <w:pPr>
        <w:pStyle w:val="Ingenafstand"/>
        <w:rPr>
          <w:rFonts w:ascii="Times New Roman" w:hAnsi="Times New Roman" w:cs="Times New Roman"/>
          <w:sz w:val="20"/>
          <w:szCs w:val="20"/>
        </w:rPr>
      </w:pPr>
      <w:r w:rsidRPr="00452E41">
        <w:rPr>
          <w:rFonts w:ascii="Times New Roman" w:hAnsi="Times New Roman" w:cs="Times New Roman"/>
          <w:sz w:val="20"/>
          <w:szCs w:val="20"/>
        </w:rPr>
        <w:t xml:space="preserve">Ved Carsten Hjorth Pedersen, daglig leder af Kristent Pædagogisk Institut, </w:t>
      </w:r>
      <w:hyperlink r:id="rId7" w:history="1">
        <w:r w:rsidRPr="00452E41">
          <w:rPr>
            <w:rStyle w:val="Hyperlink"/>
          </w:rPr>
          <w:t>www.kpi.dk</w:t>
        </w:r>
      </w:hyperlink>
      <w:r w:rsidRPr="00452E41">
        <w:rPr>
          <w:rFonts w:ascii="Times New Roman" w:hAnsi="Times New Roman" w:cs="Times New Roman"/>
          <w:sz w:val="20"/>
          <w:szCs w:val="20"/>
        </w:rPr>
        <w:t xml:space="preserve"> </w:t>
      </w:r>
    </w:p>
    <w:p w:rsidR="00FE3AF8" w:rsidRPr="00E8280C" w:rsidRDefault="00FE3AF8" w:rsidP="00FE3AF8">
      <w:pPr>
        <w:pStyle w:val="Ingenafstand"/>
        <w:rPr>
          <w:rFonts w:ascii="Times New Roman" w:hAnsi="Times New Roman" w:cs="Times New Roman"/>
          <w:sz w:val="24"/>
          <w:szCs w:val="24"/>
        </w:rPr>
      </w:pPr>
    </w:p>
    <w:p w:rsidR="00FE3AF8" w:rsidRPr="00E8280C" w:rsidRDefault="00FE3AF8" w:rsidP="00FE3AF8">
      <w:pPr>
        <w:pStyle w:val="Ingenafstand"/>
        <w:rPr>
          <w:rFonts w:ascii="Times New Roman" w:hAnsi="Times New Roman" w:cs="Times New Roman"/>
          <w:b/>
          <w:sz w:val="32"/>
          <w:szCs w:val="32"/>
        </w:rPr>
      </w:pPr>
      <w:r w:rsidRPr="00E8280C">
        <w:rPr>
          <w:rFonts w:ascii="Times New Roman" w:hAnsi="Times New Roman" w:cs="Times New Roman"/>
          <w:b/>
          <w:sz w:val="32"/>
          <w:szCs w:val="32"/>
        </w:rPr>
        <w:t>Gaven og opgaven med at oplære børn og unge i den kristne tro</w:t>
      </w:r>
    </w:p>
    <w:p w:rsidR="00FE3AF8" w:rsidRPr="00526B7F" w:rsidRDefault="00FE3AF8" w:rsidP="00FE3AF8">
      <w:pPr>
        <w:pStyle w:val="Ingenafstand"/>
        <w:rPr>
          <w:rFonts w:ascii="Times New Roman" w:hAnsi="Times New Roman" w:cs="Times New Roman"/>
          <w:b/>
        </w:rPr>
      </w:pPr>
      <w:r w:rsidRPr="00526B7F">
        <w:rPr>
          <w:rFonts w:ascii="Times New Roman" w:hAnsi="Times New Roman" w:cs="Times New Roman"/>
          <w:b/>
        </w:rPr>
        <w:t xml:space="preserve">Med </w:t>
      </w:r>
      <w:r w:rsidR="00526B7F">
        <w:rPr>
          <w:rFonts w:ascii="Times New Roman" w:hAnsi="Times New Roman" w:cs="Times New Roman"/>
          <w:b/>
        </w:rPr>
        <w:t>afsæt i LLK</w:t>
      </w:r>
      <w:r w:rsidRPr="00526B7F">
        <w:rPr>
          <w:rFonts w:ascii="Times New Roman" w:hAnsi="Times New Roman" w:cs="Times New Roman"/>
          <w:b/>
        </w:rPr>
        <w:t xml:space="preserve"> og ”oplæringspyramiden” ser vi på oplæringen</w:t>
      </w:r>
      <w:r w:rsidR="003B0AC4" w:rsidRPr="00526B7F">
        <w:rPr>
          <w:rFonts w:ascii="Times New Roman" w:hAnsi="Times New Roman" w:cs="Times New Roman"/>
          <w:b/>
        </w:rPr>
        <w:t>s</w:t>
      </w:r>
      <w:r w:rsidRPr="00526B7F">
        <w:rPr>
          <w:rFonts w:ascii="Times New Roman" w:hAnsi="Times New Roman" w:cs="Times New Roman"/>
          <w:b/>
        </w:rPr>
        <w:t xml:space="preserve"> indhold og form, forholdet mellem ordene o</w:t>
      </w:r>
      <w:r w:rsidR="00E8280C" w:rsidRPr="00526B7F">
        <w:rPr>
          <w:rFonts w:ascii="Times New Roman" w:hAnsi="Times New Roman" w:cs="Times New Roman"/>
          <w:b/>
        </w:rPr>
        <w:t>g</w:t>
      </w:r>
      <w:r w:rsidRPr="00526B7F">
        <w:rPr>
          <w:rFonts w:ascii="Times New Roman" w:hAnsi="Times New Roman" w:cs="Times New Roman"/>
          <w:b/>
        </w:rPr>
        <w:t xml:space="preserve"> det levede liv samt på forskellen mellem barnetro og voksentro i trosoplæringen</w:t>
      </w:r>
    </w:p>
    <w:p w:rsidR="00E8280C" w:rsidRDefault="00E8280C" w:rsidP="00FE3AF8">
      <w:pPr>
        <w:pStyle w:val="Ingenafstand"/>
      </w:pPr>
    </w:p>
    <w:p w:rsidR="00AC13AB" w:rsidRPr="00526B7F" w:rsidRDefault="00AC13AB" w:rsidP="00E8280C">
      <w:pPr>
        <w:rPr>
          <w:b/>
          <w:sz w:val="22"/>
          <w:szCs w:val="22"/>
        </w:rPr>
      </w:pPr>
      <w:r w:rsidRPr="00526B7F">
        <w:rPr>
          <w:b/>
          <w:sz w:val="22"/>
          <w:szCs w:val="22"/>
        </w:rPr>
        <w:t>Dåben, troen, oplæringen</w:t>
      </w:r>
    </w:p>
    <w:p w:rsidR="00E8280C" w:rsidRPr="00526B7F" w:rsidRDefault="00AC13AB" w:rsidP="00E8280C">
      <w:pPr>
        <w:rPr>
          <w:sz w:val="22"/>
          <w:szCs w:val="22"/>
        </w:rPr>
      </w:pPr>
      <w:r w:rsidRPr="00526B7F">
        <w:rPr>
          <w:sz w:val="22"/>
          <w:szCs w:val="22"/>
        </w:rPr>
        <w:t>CA</w:t>
      </w:r>
      <w:r w:rsidR="00E8280C" w:rsidRPr="00526B7F">
        <w:rPr>
          <w:sz w:val="22"/>
          <w:szCs w:val="22"/>
        </w:rPr>
        <w:t>: ”Om dåben lærer de, at den er nødvendig til frelse, og at Guds nåde tilbydes ved dåben, og at børn bør døbes, idet de, når de ved dåben er overgivet til Gud, tages til nåde af ham.”</w:t>
      </w:r>
    </w:p>
    <w:p w:rsidR="00E8280C" w:rsidRPr="00526B7F" w:rsidRDefault="00E8280C" w:rsidP="00E8280C">
      <w:pPr>
        <w:rPr>
          <w:sz w:val="22"/>
          <w:szCs w:val="22"/>
        </w:rPr>
      </w:pPr>
      <w:r w:rsidRPr="00526B7F">
        <w:rPr>
          <w:sz w:val="22"/>
          <w:szCs w:val="22"/>
        </w:rPr>
        <w:t xml:space="preserve">  Troen er tillid til Gud og personligt fællesskab med ham. Troen bor derfor ikke </w:t>
      </w:r>
      <w:r w:rsidR="00526B7F">
        <w:rPr>
          <w:sz w:val="22"/>
          <w:szCs w:val="22"/>
        </w:rPr>
        <w:t>et bestemt sted i me</w:t>
      </w:r>
      <w:r w:rsidR="00B9776D">
        <w:rPr>
          <w:sz w:val="22"/>
          <w:szCs w:val="22"/>
        </w:rPr>
        <w:t>n</w:t>
      </w:r>
      <w:r w:rsidR="00526B7F">
        <w:rPr>
          <w:sz w:val="22"/>
          <w:szCs w:val="22"/>
        </w:rPr>
        <w:t>nesket</w:t>
      </w:r>
      <w:r w:rsidRPr="00526B7F">
        <w:rPr>
          <w:sz w:val="22"/>
          <w:szCs w:val="22"/>
        </w:rPr>
        <w:t xml:space="preserve">, men har med hele personligheden at gøre: samvittigheden, det ubevidste og det bevidste, tanke, vilje og følelse, krop og ånd. Afhængigt af alder og modenhed vil troen få sansbare </w:t>
      </w:r>
      <w:r w:rsidRPr="00526B7F">
        <w:rPr>
          <w:i/>
          <w:iCs/>
          <w:sz w:val="22"/>
          <w:szCs w:val="22"/>
        </w:rPr>
        <w:t>udtryk</w:t>
      </w:r>
      <w:r w:rsidRPr="00526B7F">
        <w:rPr>
          <w:sz w:val="22"/>
          <w:szCs w:val="22"/>
        </w:rPr>
        <w:t xml:space="preserve"> i ord, holdninger og handlinger, som i øvrigt kan og bør belyses af religionspsyk</w:t>
      </w:r>
      <w:r w:rsidR="00AC13AB" w:rsidRPr="00526B7F">
        <w:rPr>
          <w:sz w:val="22"/>
          <w:szCs w:val="22"/>
        </w:rPr>
        <w:t>ologien. Men troen selv er</w:t>
      </w:r>
      <w:r w:rsidRPr="00526B7F">
        <w:rPr>
          <w:sz w:val="22"/>
          <w:szCs w:val="22"/>
        </w:rPr>
        <w:t xml:space="preserve"> et Guds under.</w:t>
      </w:r>
    </w:p>
    <w:p w:rsidR="00E8280C" w:rsidRPr="00526B7F" w:rsidRDefault="00AC13AB" w:rsidP="00E8280C">
      <w:pPr>
        <w:rPr>
          <w:sz w:val="22"/>
          <w:szCs w:val="22"/>
        </w:rPr>
      </w:pPr>
      <w:r w:rsidRPr="00526B7F">
        <w:rPr>
          <w:sz w:val="22"/>
          <w:szCs w:val="22"/>
        </w:rPr>
        <w:t xml:space="preserve">  </w:t>
      </w:r>
      <w:r w:rsidR="00E8280C" w:rsidRPr="00526B7F">
        <w:rPr>
          <w:sz w:val="22"/>
          <w:szCs w:val="22"/>
        </w:rPr>
        <w:t xml:space="preserve">Det grundlæggende i gudsforholdet er nemlig </w:t>
      </w:r>
      <w:r w:rsidR="00E8280C" w:rsidRPr="00526B7F">
        <w:rPr>
          <w:i/>
          <w:iCs/>
          <w:sz w:val="22"/>
          <w:szCs w:val="22"/>
        </w:rPr>
        <w:t>ikke at gøre, men at være</w:t>
      </w:r>
      <w:r w:rsidR="00E8280C" w:rsidRPr="00526B7F">
        <w:rPr>
          <w:sz w:val="22"/>
          <w:szCs w:val="22"/>
        </w:rPr>
        <w:t>. Det gælder både børn og v</w:t>
      </w:r>
      <w:r w:rsidR="0048221A">
        <w:rPr>
          <w:sz w:val="22"/>
          <w:szCs w:val="22"/>
        </w:rPr>
        <w:t xml:space="preserve">oksne. Det er derfor til </w:t>
      </w:r>
      <w:r w:rsidR="00E8280C" w:rsidRPr="00526B7F">
        <w:rPr>
          <w:sz w:val="22"/>
          <w:szCs w:val="22"/>
        </w:rPr>
        <w:t xml:space="preserve">lige så stor ære for Gud, når et barn tillidsfuldt beder til ham, som når en verdensevangelist forkynder om ham. </w:t>
      </w:r>
    </w:p>
    <w:p w:rsidR="00AC13AB" w:rsidRPr="00526B7F" w:rsidRDefault="00AC13AB" w:rsidP="00E8280C">
      <w:pPr>
        <w:rPr>
          <w:sz w:val="22"/>
          <w:szCs w:val="22"/>
        </w:rPr>
      </w:pPr>
    </w:p>
    <w:p w:rsidR="00AC13AB" w:rsidRPr="00526B7F" w:rsidRDefault="00AC13AB" w:rsidP="00E8280C">
      <w:pPr>
        <w:rPr>
          <w:b/>
          <w:sz w:val="22"/>
          <w:szCs w:val="22"/>
        </w:rPr>
      </w:pPr>
      <w:r w:rsidRPr="00526B7F">
        <w:rPr>
          <w:b/>
          <w:sz w:val="22"/>
          <w:szCs w:val="22"/>
        </w:rPr>
        <w:t>Det levede liv</w:t>
      </w:r>
    </w:p>
    <w:p w:rsidR="00AC13AB" w:rsidRPr="00526B7F" w:rsidRDefault="00AC13AB" w:rsidP="00E8280C">
      <w:pPr>
        <w:rPr>
          <w:sz w:val="22"/>
          <w:szCs w:val="22"/>
        </w:rPr>
      </w:pPr>
      <w:r w:rsidRPr="00526B7F">
        <w:rPr>
          <w:sz w:val="22"/>
          <w:szCs w:val="22"/>
        </w:rPr>
        <w:t xml:space="preserve">Oplæringen kan </w:t>
      </w:r>
      <w:r w:rsidR="00E8280C" w:rsidRPr="00526B7F">
        <w:rPr>
          <w:sz w:val="22"/>
          <w:szCs w:val="22"/>
        </w:rPr>
        <w:t xml:space="preserve">ikke adskilles fra det levede kristenliv med dets sejre og nederlag. Børn oplæres i højere grad gennem </w:t>
      </w:r>
      <w:r w:rsidR="00E8280C" w:rsidRPr="0048221A">
        <w:rPr>
          <w:i/>
          <w:sz w:val="22"/>
          <w:szCs w:val="22"/>
        </w:rPr>
        <w:t>ord, som virkeliggøres i voksenliv</w:t>
      </w:r>
      <w:r w:rsidR="00E8280C" w:rsidRPr="00526B7F">
        <w:rPr>
          <w:sz w:val="22"/>
          <w:szCs w:val="22"/>
        </w:rPr>
        <w:t xml:space="preserve">, end gennem ord alene. Derfor er det vigtigt for børn, at det, voksne siger, svarer til det, de viser i livet. </w:t>
      </w:r>
    </w:p>
    <w:p w:rsidR="00E8280C" w:rsidRPr="00526B7F" w:rsidRDefault="00AC13AB" w:rsidP="00E8280C">
      <w:pPr>
        <w:rPr>
          <w:sz w:val="22"/>
          <w:szCs w:val="22"/>
        </w:rPr>
      </w:pPr>
      <w:r w:rsidRPr="00526B7F">
        <w:rPr>
          <w:sz w:val="22"/>
          <w:szCs w:val="22"/>
        </w:rPr>
        <w:t xml:space="preserve">  S</w:t>
      </w:r>
      <w:r w:rsidR="00E8280C" w:rsidRPr="00526B7F">
        <w:rPr>
          <w:sz w:val="22"/>
          <w:szCs w:val="22"/>
        </w:rPr>
        <w:t xml:space="preserve">iden syndefaldets dag har Gud udelukkende haft faldne og begrænsede mennesker som sine formidlere og forvaltere på jorden. Også her er mennesker et uransageligt miks af muligheder </w:t>
      </w:r>
      <w:r w:rsidRPr="00526B7F">
        <w:rPr>
          <w:sz w:val="22"/>
          <w:szCs w:val="22"/>
        </w:rPr>
        <w:t xml:space="preserve">og mangler, </w:t>
      </w:r>
      <w:r w:rsidR="00E8280C" w:rsidRPr="00526B7F">
        <w:rPr>
          <w:sz w:val="22"/>
          <w:szCs w:val="22"/>
        </w:rPr>
        <w:t>hvad angår pædagogiske evner, kon</w:t>
      </w:r>
      <w:r w:rsidRPr="00526B7F">
        <w:rPr>
          <w:sz w:val="22"/>
          <w:szCs w:val="22"/>
        </w:rPr>
        <w:t>taktmuligheder, indlevelses- og</w:t>
      </w:r>
      <w:r w:rsidR="00E8280C" w:rsidRPr="00526B7F">
        <w:rPr>
          <w:sz w:val="22"/>
          <w:szCs w:val="22"/>
        </w:rPr>
        <w:t xml:space="preserve"> formuleringsevner, handlinger og kærlighed, som alle er af betydning for oplæringen. </w:t>
      </w:r>
      <w:r w:rsidR="00526B7F">
        <w:rPr>
          <w:sz w:val="22"/>
          <w:szCs w:val="22"/>
        </w:rPr>
        <w:t>M</w:t>
      </w:r>
      <w:r w:rsidR="00E8280C" w:rsidRPr="00526B7F">
        <w:rPr>
          <w:sz w:val="22"/>
          <w:szCs w:val="22"/>
        </w:rPr>
        <w:t>en Guds Ånd er den eneste livgiver.</w:t>
      </w:r>
    </w:p>
    <w:p w:rsidR="00E8280C" w:rsidRPr="00526B7F" w:rsidRDefault="00E8280C" w:rsidP="00E8280C">
      <w:pPr>
        <w:rPr>
          <w:b/>
          <w:bCs/>
          <w:sz w:val="22"/>
          <w:szCs w:val="22"/>
        </w:rPr>
      </w:pPr>
    </w:p>
    <w:p w:rsidR="00E8280C" w:rsidRPr="00526B7F" w:rsidRDefault="00E8280C" w:rsidP="00E8280C">
      <w:pPr>
        <w:rPr>
          <w:b/>
          <w:bCs/>
          <w:sz w:val="22"/>
          <w:szCs w:val="22"/>
        </w:rPr>
      </w:pPr>
      <w:r w:rsidRPr="00526B7F">
        <w:rPr>
          <w:b/>
          <w:bCs/>
          <w:sz w:val="22"/>
          <w:szCs w:val="22"/>
        </w:rPr>
        <w:t>Oplæringens indhold</w:t>
      </w:r>
    </w:p>
    <w:p w:rsidR="00E8280C" w:rsidRPr="00526B7F" w:rsidRDefault="00E8280C" w:rsidP="00E8280C">
      <w:pPr>
        <w:rPr>
          <w:sz w:val="22"/>
          <w:szCs w:val="22"/>
        </w:rPr>
      </w:pPr>
      <w:r w:rsidRPr="00526B7F">
        <w:rPr>
          <w:sz w:val="22"/>
          <w:szCs w:val="22"/>
        </w:rPr>
        <w:t>Bibelsk oplæringstradition kan samles om to centre:</w:t>
      </w:r>
    </w:p>
    <w:p w:rsidR="00E8280C" w:rsidRPr="0048221A" w:rsidRDefault="00E8280C" w:rsidP="0048221A">
      <w:pPr>
        <w:pStyle w:val="Listeafsnit"/>
        <w:numPr>
          <w:ilvl w:val="0"/>
          <w:numId w:val="2"/>
        </w:numPr>
        <w:rPr>
          <w:sz w:val="22"/>
        </w:rPr>
      </w:pPr>
      <w:r w:rsidRPr="0048221A">
        <w:rPr>
          <w:iCs/>
          <w:sz w:val="22"/>
        </w:rPr>
        <w:t xml:space="preserve">Børnene skal høre om </w:t>
      </w:r>
      <w:r w:rsidRPr="0048221A">
        <w:rPr>
          <w:i/>
          <w:sz w:val="22"/>
        </w:rPr>
        <w:t>Guds handlinger</w:t>
      </w:r>
      <w:r w:rsidRPr="0048221A">
        <w:rPr>
          <w:iCs/>
          <w:sz w:val="22"/>
        </w:rPr>
        <w:t xml:space="preserve"> i historien, som de fremstilles i både Gammel og Ny Testamente (jf. 5 Mos 32,7 og Sl. 78,3-4).</w:t>
      </w:r>
      <w:r w:rsidR="00526B7F" w:rsidRPr="0048221A">
        <w:rPr>
          <w:iCs/>
          <w:sz w:val="22"/>
        </w:rPr>
        <w:t xml:space="preserve"> </w:t>
      </w:r>
      <w:r w:rsidR="00526B7F" w:rsidRPr="0048221A">
        <w:rPr>
          <w:i/>
          <w:iCs/>
          <w:sz w:val="22"/>
        </w:rPr>
        <w:t>Bibelhistorie.</w:t>
      </w:r>
    </w:p>
    <w:p w:rsidR="00E8280C" w:rsidRPr="00526B7F" w:rsidRDefault="00E8280C" w:rsidP="00E8280C">
      <w:pPr>
        <w:numPr>
          <w:ilvl w:val="0"/>
          <w:numId w:val="2"/>
        </w:numPr>
        <w:rPr>
          <w:iCs/>
          <w:sz w:val="22"/>
          <w:szCs w:val="22"/>
        </w:rPr>
      </w:pPr>
      <w:r w:rsidRPr="00526B7F">
        <w:rPr>
          <w:iCs/>
          <w:sz w:val="22"/>
          <w:szCs w:val="22"/>
        </w:rPr>
        <w:t xml:space="preserve">Børnene skal lære </w:t>
      </w:r>
      <w:r w:rsidRPr="00526B7F">
        <w:rPr>
          <w:i/>
          <w:sz w:val="22"/>
          <w:szCs w:val="22"/>
        </w:rPr>
        <w:t>Guds vilje</w:t>
      </w:r>
      <w:r w:rsidRPr="00526B7F">
        <w:rPr>
          <w:iCs/>
          <w:sz w:val="22"/>
          <w:szCs w:val="22"/>
        </w:rPr>
        <w:t xml:space="preserve"> at kende, som den fremstilles både i Gammel og Ny Testamente, både i lov og evangelium (jf. 5 Mos 6,1-2; 6-7 og Matt 28,18-20).</w:t>
      </w:r>
      <w:r w:rsidR="00526B7F">
        <w:rPr>
          <w:iCs/>
          <w:sz w:val="22"/>
          <w:szCs w:val="22"/>
        </w:rPr>
        <w:t xml:space="preserve"> </w:t>
      </w:r>
      <w:r w:rsidR="00526B7F">
        <w:rPr>
          <w:i/>
          <w:iCs/>
          <w:sz w:val="22"/>
          <w:szCs w:val="22"/>
        </w:rPr>
        <w:t>K</w:t>
      </w:r>
      <w:r w:rsidR="00526B7F" w:rsidRPr="00526B7F">
        <w:rPr>
          <w:i/>
          <w:iCs/>
          <w:sz w:val="22"/>
          <w:szCs w:val="22"/>
        </w:rPr>
        <w:t>atekismus-stof</w:t>
      </w:r>
      <w:r w:rsidR="00526B7F">
        <w:rPr>
          <w:i/>
          <w:iCs/>
          <w:sz w:val="22"/>
          <w:szCs w:val="22"/>
        </w:rPr>
        <w:t>.</w:t>
      </w:r>
    </w:p>
    <w:p w:rsidR="00E8280C" w:rsidRPr="00526B7F" w:rsidRDefault="00E8280C" w:rsidP="00E8280C">
      <w:pPr>
        <w:rPr>
          <w:b/>
          <w:bCs/>
          <w:sz w:val="22"/>
          <w:szCs w:val="22"/>
        </w:rPr>
      </w:pPr>
    </w:p>
    <w:p w:rsidR="00E8280C" w:rsidRPr="00526B7F" w:rsidRDefault="00E8280C" w:rsidP="00E8280C">
      <w:pPr>
        <w:rPr>
          <w:b/>
          <w:bCs/>
          <w:sz w:val="22"/>
          <w:szCs w:val="22"/>
        </w:rPr>
      </w:pPr>
      <w:r w:rsidRPr="00526B7F">
        <w:rPr>
          <w:b/>
          <w:bCs/>
          <w:sz w:val="22"/>
          <w:szCs w:val="22"/>
        </w:rPr>
        <w:t>Oplæringens former</w:t>
      </w:r>
    </w:p>
    <w:p w:rsidR="00E8280C" w:rsidRPr="00526B7F" w:rsidRDefault="00E8280C" w:rsidP="00E8280C">
      <w:pPr>
        <w:rPr>
          <w:sz w:val="22"/>
          <w:szCs w:val="22"/>
        </w:rPr>
      </w:pPr>
      <w:r w:rsidRPr="00526B7F">
        <w:rPr>
          <w:sz w:val="22"/>
          <w:szCs w:val="22"/>
        </w:rPr>
        <w:t>Den kristne oplæring har flere udtryksformer. Her vil jeg nævne syv:</w:t>
      </w:r>
    </w:p>
    <w:p w:rsidR="00E8280C" w:rsidRPr="00526B7F" w:rsidRDefault="00526B7F" w:rsidP="00E8280C">
      <w:pPr>
        <w:rPr>
          <w:i/>
          <w:iCs/>
          <w:sz w:val="22"/>
          <w:szCs w:val="22"/>
        </w:rPr>
      </w:pPr>
      <w:r>
        <w:rPr>
          <w:bCs/>
          <w:noProof/>
          <w:sz w:val="22"/>
          <w:szCs w:val="22"/>
        </w:rPr>
        <w:t xml:space="preserve">                             </w:t>
      </w:r>
      <w:r w:rsidR="00E8280C" w:rsidRPr="00526B7F">
        <w:rPr>
          <w:bCs/>
          <w:noProof/>
          <w:sz w:val="22"/>
          <w:szCs w:val="22"/>
        </w:rPr>
        <w:drawing>
          <wp:inline distT="0" distB="0" distL="0" distR="0" wp14:anchorId="36AB5F32" wp14:editId="676FE0C5">
            <wp:extent cx="2446020" cy="2078461"/>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lær.pyramid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0998" cy="2108183"/>
                    </a:xfrm>
                    <a:prstGeom prst="rect">
                      <a:avLst/>
                    </a:prstGeom>
                  </pic:spPr>
                </pic:pic>
              </a:graphicData>
            </a:graphic>
          </wp:inline>
        </w:drawing>
      </w:r>
    </w:p>
    <w:p w:rsidR="00E8280C" w:rsidRDefault="00E8280C" w:rsidP="00E8280C">
      <w:pPr>
        <w:rPr>
          <w:sz w:val="22"/>
          <w:szCs w:val="22"/>
        </w:rPr>
      </w:pPr>
      <w:r w:rsidRPr="00526B7F">
        <w:rPr>
          <w:sz w:val="22"/>
          <w:szCs w:val="22"/>
        </w:rPr>
        <w:t>Oplæringens syv hovedformer bør ikke adskilles fra hinanden. Den ene fo</w:t>
      </w:r>
      <w:r w:rsidR="0016106E" w:rsidRPr="00526B7F">
        <w:rPr>
          <w:sz w:val="22"/>
          <w:szCs w:val="22"/>
        </w:rPr>
        <w:t>rm vil rumme elementer af de seks</w:t>
      </w:r>
      <w:r w:rsidRPr="00526B7F">
        <w:rPr>
          <w:sz w:val="22"/>
          <w:szCs w:val="22"/>
        </w:rPr>
        <w:t xml:space="preserve"> an</w:t>
      </w:r>
      <w:r w:rsidR="0016106E" w:rsidRPr="00526B7F">
        <w:rPr>
          <w:sz w:val="22"/>
          <w:szCs w:val="22"/>
        </w:rPr>
        <w:t>dre. Ideelt set bør de alle syv</w:t>
      </w:r>
      <w:r w:rsidRPr="00526B7F">
        <w:rPr>
          <w:sz w:val="22"/>
          <w:szCs w:val="22"/>
        </w:rPr>
        <w:t xml:space="preserve"> findes og virke sammen i børnenes liv.</w:t>
      </w:r>
    </w:p>
    <w:p w:rsidR="00526B7F" w:rsidRPr="00526B7F" w:rsidRDefault="00526B7F" w:rsidP="00E8280C">
      <w:pPr>
        <w:rPr>
          <w:sz w:val="22"/>
          <w:szCs w:val="22"/>
        </w:rPr>
      </w:pPr>
    </w:p>
    <w:p w:rsidR="00E97275" w:rsidRPr="00526B7F" w:rsidRDefault="00E8280C" w:rsidP="00AC13AB">
      <w:pPr>
        <w:pStyle w:val="Ingenafstand"/>
        <w:rPr>
          <w:rFonts w:ascii="Times New Roman" w:hAnsi="Times New Roman" w:cs="Times New Roman"/>
          <w:b/>
        </w:rPr>
      </w:pPr>
      <w:r w:rsidRPr="00526B7F">
        <w:rPr>
          <w:rFonts w:ascii="Times New Roman" w:hAnsi="Times New Roman" w:cs="Times New Roman"/>
          <w:b/>
        </w:rPr>
        <w:lastRenderedPageBreak/>
        <w:t>Barnetro og voksentro</w:t>
      </w:r>
    </w:p>
    <w:p w:rsidR="00E97275" w:rsidRPr="00526B7F" w:rsidRDefault="00E97275" w:rsidP="00E97275">
      <w:pPr>
        <w:rPr>
          <w:i/>
          <w:sz w:val="22"/>
          <w:szCs w:val="22"/>
        </w:rPr>
      </w:pPr>
      <w:r w:rsidRPr="00526B7F">
        <w:rPr>
          <w:noProof/>
          <w:sz w:val="22"/>
          <w:szCs w:val="22"/>
        </w:rPr>
        <w:drawing>
          <wp:inline distT="0" distB="0" distL="0" distR="0">
            <wp:extent cx="3482340" cy="1219200"/>
            <wp:effectExtent l="0" t="0" r="381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b="20448"/>
                    <a:stretch>
                      <a:fillRect/>
                    </a:stretch>
                  </pic:blipFill>
                  <pic:spPr bwMode="auto">
                    <a:xfrm>
                      <a:off x="0" y="0"/>
                      <a:ext cx="3482340" cy="1219200"/>
                    </a:xfrm>
                    <a:prstGeom prst="rect">
                      <a:avLst/>
                    </a:prstGeom>
                    <a:noFill/>
                    <a:ln>
                      <a:noFill/>
                    </a:ln>
                  </pic:spPr>
                </pic:pic>
              </a:graphicData>
            </a:graphic>
          </wp:inline>
        </w:drawing>
      </w:r>
    </w:p>
    <w:p w:rsidR="0048221A" w:rsidRDefault="00E97275" w:rsidP="0048221A">
      <w:pPr>
        <w:pStyle w:val="Listeafsnit"/>
        <w:numPr>
          <w:ilvl w:val="0"/>
          <w:numId w:val="5"/>
        </w:numPr>
        <w:rPr>
          <w:i/>
          <w:sz w:val="22"/>
        </w:rPr>
      </w:pPr>
      <w:r w:rsidRPr="00526B7F">
        <w:rPr>
          <w:i/>
          <w:sz w:val="22"/>
        </w:rPr>
        <w:t>Konkret og abstrakt opfattelse</w:t>
      </w:r>
    </w:p>
    <w:p w:rsidR="0048221A" w:rsidRDefault="00E97275" w:rsidP="0048221A">
      <w:pPr>
        <w:pStyle w:val="Listeafsnit"/>
        <w:numPr>
          <w:ilvl w:val="0"/>
          <w:numId w:val="5"/>
        </w:numPr>
        <w:rPr>
          <w:i/>
          <w:sz w:val="22"/>
        </w:rPr>
      </w:pPr>
      <w:r w:rsidRPr="0048221A">
        <w:rPr>
          <w:i/>
          <w:sz w:val="22"/>
        </w:rPr>
        <w:t>Følelser og tanker</w:t>
      </w:r>
    </w:p>
    <w:p w:rsidR="0048221A" w:rsidRDefault="008A6008" w:rsidP="0048221A">
      <w:pPr>
        <w:pStyle w:val="Listeafsnit"/>
        <w:numPr>
          <w:ilvl w:val="0"/>
          <w:numId w:val="5"/>
        </w:numPr>
        <w:rPr>
          <w:i/>
          <w:sz w:val="22"/>
        </w:rPr>
      </w:pPr>
      <w:r w:rsidRPr="0048221A">
        <w:rPr>
          <w:i/>
          <w:sz w:val="22"/>
        </w:rPr>
        <w:t>Fantasi og virkelighed</w:t>
      </w:r>
    </w:p>
    <w:p w:rsidR="00E97275" w:rsidRPr="0048221A" w:rsidRDefault="00E97275" w:rsidP="0048221A">
      <w:pPr>
        <w:pStyle w:val="Listeafsnit"/>
        <w:numPr>
          <w:ilvl w:val="0"/>
          <w:numId w:val="5"/>
        </w:numPr>
        <w:rPr>
          <w:i/>
          <w:sz w:val="22"/>
        </w:rPr>
      </w:pPr>
      <w:r w:rsidRPr="0048221A">
        <w:rPr>
          <w:i/>
          <w:sz w:val="22"/>
        </w:rPr>
        <w:t>Nutid og fortid/fremtid</w:t>
      </w:r>
    </w:p>
    <w:p w:rsidR="00E97275" w:rsidRPr="00526B7F" w:rsidRDefault="00E97275" w:rsidP="00E97275">
      <w:pPr>
        <w:rPr>
          <w:sz w:val="22"/>
          <w:szCs w:val="22"/>
        </w:rPr>
      </w:pPr>
    </w:p>
    <w:p w:rsidR="00E97275" w:rsidRPr="00526B7F" w:rsidRDefault="00E97275" w:rsidP="00E97275">
      <w:pPr>
        <w:rPr>
          <w:b/>
          <w:sz w:val="22"/>
          <w:szCs w:val="22"/>
        </w:rPr>
      </w:pPr>
      <w:r w:rsidRPr="00526B7F">
        <w:rPr>
          <w:b/>
          <w:sz w:val="22"/>
          <w:szCs w:val="22"/>
        </w:rPr>
        <w:t>Hvad er troen?</w:t>
      </w:r>
    </w:p>
    <w:p w:rsidR="00E97275" w:rsidRPr="00526B7F" w:rsidRDefault="00E97275" w:rsidP="00E97275">
      <w:pPr>
        <w:numPr>
          <w:ilvl w:val="0"/>
          <w:numId w:val="3"/>
        </w:numPr>
        <w:rPr>
          <w:sz w:val="22"/>
          <w:szCs w:val="22"/>
        </w:rPr>
      </w:pPr>
      <w:r w:rsidRPr="00526B7F">
        <w:rPr>
          <w:sz w:val="22"/>
          <w:szCs w:val="22"/>
        </w:rPr>
        <w:t>For barnet er troen noget altovervejende konkret, knyttet til konkrete handlinger i hverdagen samt til konkrete, handlingsmættede fortællinger, mens troen for den voksne er et uransageligt miks af noget konkret og abstrakt.</w:t>
      </w:r>
    </w:p>
    <w:p w:rsidR="00E97275" w:rsidRPr="00526B7F" w:rsidRDefault="00E97275" w:rsidP="00E97275">
      <w:pPr>
        <w:numPr>
          <w:ilvl w:val="0"/>
          <w:numId w:val="3"/>
        </w:numPr>
        <w:rPr>
          <w:sz w:val="22"/>
          <w:szCs w:val="22"/>
        </w:rPr>
      </w:pPr>
      <w:r w:rsidRPr="00526B7F">
        <w:rPr>
          <w:sz w:val="22"/>
          <w:szCs w:val="22"/>
        </w:rPr>
        <w:t>Troen er i høj grad knyttet til barnets følelsesliv og mindre til dets tankeliv, som fortsat er under opbygning. Barnet reagerer derfor også spontant i troens verden, mens den voksne søger en individuel balance mellem spontanitet og refleksivitet.</w:t>
      </w:r>
    </w:p>
    <w:p w:rsidR="00E97275" w:rsidRPr="00526B7F" w:rsidRDefault="00E97275" w:rsidP="00E97275">
      <w:pPr>
        <w:numPr>
          <w:ilvl w:val="0"/>
          <w:numId w:val="3"/>
        </w:numPr>
        <w:rPr>
          <w:sz w:val="22"/>
          <w:szCs w:val="22"/>
        </w:rPr>
      </w:pPr>
      <w:r w:rsidRPr="00526B7F">
        <w:rPr>
          <w:sz w:val="22"/>
          <w:szCs w:val="22"/>
        </w:rPr>
        <w:t>Børns veludviklede fantasi indebærer, at især fortælling af bibelhistorie går rent ind. Barnet er hurtigt i stand til at danne sig billeder af det fortalte og får hurtig tillid til, at alt det fantastiske, der fortælles om Gud, er sandt. På d</w:t>
      </w:r>
      <w:r w:rsidR="0048221A">
        <w:rPr>
          <w:sz w:val="22"/>
          <w:szCs w:val="22"/>
        </w:rPr>
        <w:t>ette felt er barnets tro</w:t>
      </w:r>
      <w:r w:rsidRPr="00526B7F">
        <w:rPr>
          <w:sz w:val="22"/>
          <w:szCs w:val="22"/>
        </w:rPr>
        <w:t xml:space="preserve"> forbilledlig for den voksne.</w:t>
      </w:r>
    </w:p>
    <w:p w:rsidR="00E97275" w:rsidRPr="00526B7F" w:rsidRDefault="00E97275" w:rsidP="00E97275">
      <w:pPr>
        <w:numPr>
          <w:ilvl w:val="0"/>
          <w:numId w:val="3"/>
        </w:numPr>
        <w:rPr>
          <w:sz w:val="22"/>
          <w:szCs w:val="22"/>
        </w:rPr>
      </w:pPr>
      <w:r w:rsidRPr="00526B7F">
        <w:rPr>
          <w:sz w:val="22"/>
          <w:szCs w:val="22"/>
        </w:rPr>
        <w:t>Den kristne påvirkning af barnet skal ikke dyrke hverken fortid eller fremtid i det lille barns liv. Vi bør tage afsæt i barnets nutids-erfaringer. Er der en aktuel erfaring af skyld,</w:t>
      </w:r>
      <w:r w:rsidR="0048221A">
        <w:rPr>
          <w:sz w:val="22"/>
          <w:szCs w:val="22"/>
        </w:rPr>
        <w:t xml:space="preserve"> </w:t>
      </w:r>
      <w:r w:rsidRPr="00526B7F">
        <w:rPr>
          <w:sz w:val="22"/>
          <w:szCs w:val="22"/>
        </w:rPr>
        <w:t>kan den bruges som springbræt. Er der en nutidserfaring af Guds godhed, så sæt lys på den.</w:t>
      </w:r>
    </w:p>
    <w:p w:rsidR="00E97275" w:rsidRPr="00526B7F" w:rsidRDefault="00E97275" w:rsidP="00E97275">
      <w:pPr>
        <w:rPr>
          <w:b/>
          <w:sz w:val="22"/>
          <w:szCs w:val="22"/>
        </w:rPr>
      </w:pPr>
    </w:p>
    <w:p w:rsidR="00E97275" w:rsidRPr="00526B7F" w:rsidRDefault="00E97275" w:rsidP="00E97275">
      <w:pPr>
        <w:pStyle w:val="Ingenafstand"/>
        <w:rPr>
          <w:rFonts w:ascii="Times New Roman" w:hAnsi="Times New Roman" w:cs="Times New Roman"/>
          <w:b/>
        </w:rPr>
      </w:pPr>
      <w:r w:rsidRPr="00526B7F">
        <w:rPr>
          <w:rFonts w:ascii="Times New Roman" w:hAnsi="Times New Roman" w:cs="Times New Roman"/>
          <w:b/>
        </w:rPr>
        <w:t>Det mørke og alvorlige hører livet til</w:t>
      </w:r>
    </w:p>
    <w:p w:rsidR="00E97275" w:rsidRPr="00526B7F" w:rsidRDefault="00E97275" w:rsidP="00E97275">
      <w:pPr>
        <w:pStyle w:val="Ingenafstand"/>
        <w:rPr>
          <w:rFonts w:ascii="Times New Roman" w:hAnsi="Times New Roman" w:cs="Times New Roman"/>
        </w:rPr>
      </w:pPr>
      <w:r w:rsidRPr="00526B7F">
        <w:rPr>
          <w:rFonts w:ascii="Times New Roman" w:hAnsi="Times New Roman" w:cs="Times New Roman"/>
        </w:rPr>
        <w:t>1) Fordi selve livsvirkeligheden – som børn skal lære at leve i – rummer alvor, ondskab og va</w:t>
      </w:r>
      <w:r w:rsidR="0048221A">
        <w:rPr>
          <w:rFonts w:ascii="Times New Roman" w:hAnsi="Times New Roman" w:cs="Times New Roman"/>
        </w:rPr>
        <w:t>nske</w:t>
      </w:r>
      <w:r w:rsidR="00585972" w:rsidRPr="00526B7F">
        <w:rPr>
          <w:rFonts w:ascii="Times New Roman" w:hAnsi="Times New Roman" w:cs="Times New Roman"/>
        </w:rPr>
        <w:t xml:space="preserve">ligheder. Vi svigter </w:t>
      </w:r>
      <w:r w:rsidRPr="00526B7F">
        <w:rPr>
          <w:rFonts w:ascii="Times New Roman" w:hAnsi="Times New Roman" w:cs="Times New Roman"/>
        </w:rPr>
        <w:t xml:space="preserve">børnene, </w:t>
      </w:r>
      <w:r w:rsidR="00585972" w:rsidRPr="00526B7F">
        <w:rPr>
          <w:rFonts w:ascii="Times New Roman" w:hAnsi="Times New Roman" w:cs="Times New Roman"/>
        </w:rPr>
        <w:t xml:space="preserve">hvis vi </w:t>
      </w:r>
      <w:r w:rsidRPr="00526B7F">
        <w:rPr>
          <w:rFonts w:ascii="Times New Roman" w:hAnsi="Times New Roman" w:cs="Times New Roman"/>
        </w:rPr>
        <w:t>snige</w:t>
      </w:r>
      <w:r w:rsidR="00585972" w:rsidRPr="00526B7F">
        <w:rPr>
          <w:rFonts w:ascii="Times New Roman" w:hAnsi="Times New Roman" w:cs="Times New Roman"/>
        </w:rPr>
        <w:t>r</w:t>
      </w:r>
      <w:r w:rsidRPr="00526B7F">
        <w:rPr>
          <w:rFonts w:ascii="Times New Roman" w:hAnsi="Times New Roman" w:cs="Times New Roman"/>
        </w:rPr>
        <w:t xml:space="preserve"> os uden om det tunge og mørke, som de og vi møder.</w:t>
      </w:r>
    </w:p>
    <w:p w:rsidR="00E97275" w:rsidRPr="00526B7F" w:rsidRDefault="00AC13AB" w:rsidP="00E97275">
      <w:pPr>
        <w:pStyle w:val="Ingenafstand"/>
        <w:rPr>
          <w:rFonts w:ascii="Times New Roman" w:hAnsi="Times New Roman" w:cs="Times New Roman"/>
        </w:rPr>
      </w:pPr>
      <w:r w:rsidRPr="00526B7F">
        <w:rPr>
          <w:rFonts w:ascii="Times New Roman" w:hAnsi="Times New Roman" w:cs="Times New Roman"/>
        </w:rPr>
        <w:t xml:space="preserve">  </w:t>
      </w:r>
      <w:r w:rsidR="00E97275" w:rsidRPr="00526B7F">
        <w:rPr>
          <w:rFonts w:ascii="Times New Roman" w:hAnsi="Times New Roman" w:cs="Times New Roman"/>
        </w:rPr>
        <w:t>2) Fordi Guds ord – som graver langt dybere end vores erfaring – fastholder såvel det glædelige som det smertelige, såvel det forståelige som det uforståelige, såvel Guds nåde som Guds vrede.</w:t>
      </w:r>
    </w:p>
    <w:p w:rsidR="00E97275" w:rsidRPr="00526B7F" w:rsidRDefault="00E97275" w:rsidP="00E97275">
      <w:pPr>
        <w:pStyle w:val="Ingenafstand"/>
        <w:rPr>
          <w:rFonts w:ascii="Times New Roman" w:hAnsi="Times New Roman" w:cs="Times New Roman"/>
        </w:rPr>
      </w:pPr>
      <w:r w:rsidRPr="00526B7F">
        <w:rPr>
          <w:rFonts w:ascii="Times New Roman" w:hAnsi="Times New Roman" w:cs="Times New Roman"/>
        </w:rPr>
        <w:t xml:space="preserve">  Det handler om at være sandheden tro i kærlighed. Også over for børn.</w:t>
      </w:r>
    </w:p>
    <w:p w:rsidR="00E97275" w:rsidRPr="00526B7F" w:rsidRDefault="00E97275" w:rsidP="00E97275">
      <w:pPr>
        <w:pStyle w:val="Ingenafstand"/>
        <w:rPr>
          <w:rFonts w:ascii="Times New Roman" w:hAnsi="Times New Roman" w:cs="Times New Roman"/>
        </w:rPr>
      </w:pPr>
    </w:p>
    <w:p w:rsidR="00E97275" w:rsidRPr="00526B7F" w:rsidRDefault="00E97275" w:rsidP="00E97275">
      <w:pPr>
        <w:pStyle w:val="Ingenafstand"/>
        <w:rPr>
          <w:rFonts w:ascii="Times New Roman" w:hAnsi="Times New Roman" w:cs="Times New Roman"/>
          <w:b/>
        </w:rPr>
      </w:pPr>
      <w:r w:rsidRPr="00526B7F">
        <w:rPr>
          <w:rFonts w:ascii="Times New Roman" w:hAnsi="Times New Roman" w:cs="Times New Roman"/>
          <w:b/>
        </w:rPr>
        <w:t>Sygdom, smerte og død</w:t>
      </w:r>
    </w:p>
    <w:p w:rsidR="00E97275" w:rsidRPr="00526B7F" w:rsidRDefault="00E97275" w:rsidP="00E97275">
      <w:pPr>
        <w:rPr>
          <w:sz w:val="22"/>
          <w:szCs w:val="22"/>
        </w:rPr>
      </w:pPr>
      <w:r w:rsidRPr="00526B7F">
        <w:rPr>
          <w:sz w:val="22"/>
          <w:szCs w:val="22"/>
        </w:rPr>
        <w:t>”Et godt råd lyder, at vi må fortælle børn så meget om livets sammensathed, at de kan indpasse stadig nye livserfaringer ind i det samlede billede af troen – men ikke så meget, at vi tager livsmodet fra dem. Vi har dog ikke altid mulighed for at vælge, hvornår barnets skal konfronteres med store vanskelige forhold. Hvis barnet oplever alvorlig sygdom, kriser, ondskab, ulykker eller død, så må vi hjælpe dem i deres smerte – midt i vores egen smerte over, at de så tidligt skulle møde så mørke s</w:t>
      </w:r>
      <w:r w:rsidR="00526B7F">
        <w:rPr>
          <w:sz w:val="22"/>
          <w:szCs w:val="22"/>
        </w:rPr>
        <w:t>ider af livet.” (Birgitte Kjær</w:t>
      </w:r>
      <w:r w:rsidRPr="00526B7F">
        <w:rPr>
          <w:sz w:val="22"/>
          <w:szCs w:val="22"/>
        </w:rPr>
        <w:t>)</w:t>
      </w:r>
    </w:p>
    <w:p w:rsidR="00E97275" w:rsidRPr="00526B7F" w:rsidRDefault="00E97275" w:rsidP="00E97275">
      <w:pPr>
        <w:rPr>
          <w:sz w:val="22"/>
          <w:szCs w:val="22"/>
        </w:rPr>
      </w:pPr>
    </w:p>
    <w:p w:rsidR="00E97275" w:rsidRPr="00526B7F" w:rsidRDefault="00E97275" w:rsidP="00526B7F">
      <w:pPr>
        <w:pStyle w:val="Ingenafstand"/>
        <w:rPr>
          <w:rFonts w:eastAsia="Calibri"/>
        </w:rPr>
      </w:pPr>
      <w:r w:rsidRPr="00526B7F">
        <w:rPr>
          <w:rFonts w:ascii="Times New Roman" w:hAnsi="Times New Roman" w:cs="Times New Roman"/>
          <w:b/>
        </w:rPr>
        <w:t>Frelse og fortabelse</w:t>
      </w:r>
    </w:p>
    <w:p w:rsidR="00E97275" w:rsidRPr="00526B7F" w:rsidRDefault="00E97275" w:rsidP="00E97275">
      <w:pPr>
        <w:rPr>
          <w:rFonts w:eastAsia="Calibri"/>
          <w:sz w:val="22"/>
          <w:szCs w:val="22"/>
          <w:lang w:eastAsia="en-US"/>
        </w:rPr>
      </w:pPr>
      <w:r w:rsidRPr="00526B7F">
        <w:rPr>
          <w:rFonts w:eastAsia="Calibri"/>
          <w:sz w:val="22"/>
          <w:szCs w:val="22"/>
          <w:lang w:eastAsia="en-US"/>
        </w:rPr>
        <w:t>Når vi skal tale sandt og godt med børnene om frelse og fortabelse, er det særlig vigtigt at være i god kontakt med børnene, så vi fornemmer hvor meget, vi skal sige til denne aldersgruppe. Også små børn skal møde temaet – eller de bringer det selv på banen – men jo ældre børnene bliver, desto dybere kan vi tale om det.</w:t>
      </w:r>
    </w:p>
    <w:p w:rsidR="00526B7F" w:rsidRPr="00526B7F" w:rsidRDefault="00E97275" w:rsidP="00526B7F">
      <w:pPr>
        <w:rPr>
          <w:rFonts w:eastAsia="Calibri"/>
          <w:sz w:val="22"/>
          <w:szCs w:val="22"/>
          <w:lang w:eastAsia="en-US"/>
        </w:rPr>
      </w:pPr>
      <w:r w:rsidRPr="00526B7F">
        <w:rPr>
          <w:rFonts w:eastAsia="Calibri"/>
          <w:sz w:val="22"/>
          <w:szCs w:val="22"/>
          <w:lang w:eastAsia="en-US"/>
        </w:rPr>
        <w:t xml:space="preserve">  I den forbindelse er det vigtigt at vide, at talen om den dobbelte udgang ofte aktiverer en dybtliggende separationsangst hos især små børn, dvs. angsten for at</w:t>
      </w:r>
      <w:r w:rsidR="00526B7F">
        <w:rPr>
          <w:rFonts w:eastAsia="Calibri"/>
          <w:sz w:val="22"/>
          <w:szCs w:val="22"/>
          <w:lang w:eastAsia="en-US"/>
        </w:rPr>
        <w:t xml:space="preserve"> blive adskilt fra far og mor.</w:t>
      </w:r>
    </w:p>
    <w:p w:rsidR="00E97275" w:rsidRPr="00526B7F" w:rsidRDefault="00526B7F" w:rsidP="00526B7F">
      <w:pPr>
        <w:rPr>
          <w:sz w:val="22"/>
          <w:szCs w:val="22"/>
        </w:rPr>
      </w:pPr>
      <w:r w:rsidRPr="00526B7F">
        <w:rPr>
          <w:sz w:val="22"/>
          <w:szCs w:val="22"/>
        </w:rPr>
        <w:t xml:space="preserve"> </w:t>
      </w:r>
    </w:p>
    <w:p w:rsidR="00E97275" w:rsidRPr="00526B7F" w:rsidRDefault="00E97275" w:rsidP="00E97275">
      <w:pPr>
        <w:rPr>
          <w:b/>
          <w:sz w:val="22"/>
          <w:szCs w:val="22"/>
        </w:rPr>
      </w:pPr>
      <w:r w:rsidRPr="00526B7F">
        <w:rPr>
          <w:b/>
          <w:sz w:val="22"/>
          <w:szCs w:val="22"/>
        </w:rPr>
        <w:t>Mød barnet med en moden tro</w:t>
      </w:r>
    </w:p>
    <w:p w:rsidR="00526B7F" w:rsidRPr="00526B7F" w:rsidRDefault="00E97275" w:rsidP="00E97275">
      <w:pPr>
        <w:rPr>
          <w:sz w:val="22"/>
          <w:szCs w:val="22"/>
        </w:rPr>
      </w:pPr>
      <w:r w:rsidRPr="00526B7F">
        <w:rPr>
          <w:sz w:val="22"/>
          <w:szCs w:val="22"/>
        </w:rPr>
        <w:t>At troen er moden vil ikke sige, at den er stærk og brillant. Det betyder derimod, at du gennem vedvarende omgang med Gud i ordet og bønnen, trænger dybere ind i den uendeligt store hemmelighed, som evangeliet er. Den bety</w:t>
      </w:r>
      <w:bookmarkStart w:id="0" w:name="_GoBack"/>
      <w:bookmarkEnd w:id="0"/>
      <w:r w:rsidRPr="00526B7F">
        <w:rPr>
          <w:sz w:val="22"/>
          <w:szCs w:val="22"/>
        </w:rPr>
        <w:t>der også, at du lever i en sund spænding mellem lys og mørke.</w:t>
      </w:r>
      <w:r w:rsidR="0048221A">
        <w:rPr>
          <w:sz w:val="22"/>
          <w:szCs w:val="22"/>
        </w:rPr>
        <w:t xml:space="preserve"> Det har børn brug for at møde.</w:t>
      </w:r>
    </w:p>
    <w:sectPr w:rsidR="00526B7F" w:rsidRPr="00526B7F">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37D" w:rsidRDefault="005F537D" w:rsidP="00E8280C">
      <w:r>
        <w:separator/>
      </w:r>
    </w:p>
  </w:endnote>
  <w:endnote w:type="continuationSeparator" w:id="0">
    <w:p w:rsidR="005F537D" w:rsidRDefault="005F537D" w:rsidP="00E8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37D" w:rsidRDefault="005F537D" w:rsidP="00E8280C">
      <w:r>
        <w:separator/>
      </w:r>
    </w:p>
  </w:footnote>
  <w:footnote w:type="continuationSeparator" w:id="0">
    <w:p w:rsidR="005F537D" w:rsidRDefault="005F537D" w:rsidP="00E82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2503C"/>
    <w:multiLevelType w:val="hybridMultilevel"/>
    <w:tmpl w:val="938833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D59318C"/>
    <w:multiLevelType w:val="hybridMultilevel"/>
    <w:tmpl w:val="BAE6B9D2"/>
    <w:lvl w:ilvl="0" w:tplc="E31665EE">
      <w:start w:val="1"/>
      <w:numFmt w:val="bullet"/>
      <w:lvlText w:val=""/>
      <w:lvlJc w:val="left"/>
      <w:pPr>
        <w:ind w:left="1080" w:hanging="360"/>
      </w:pPr>
      <w:rPr>
        <w:rFonts w:ascii="Symbol" w:eastAsia="Calibri" w:hAnsi="Symbol"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5C9F05EB"/>
    <w:multiLevelType w:val="hybridMultilevel"/>
    <w:tmpl w:val="826E3634"/>
    <w:lvl w:ilvl="0" w:tplc="0B12F2AE">
      <w:start w:val="4"/>
      <w:numFmt w:val="bullet"/>
      <w:lvlText w:val="-"/>
      <w:lvlJc w:val="left"/>
      <w:pPr>
        <w:tabs>
          <w:tab w:val="num" w:pos="1664"/>
        </w:tabs>
        <w:ind w:left="1664" w:hanging="360"/>
      </w:pPr>
      <w:rPr>
        <w:rFonts w:ascii="Times New Roman" w:eastAsia="Times New Roman" w:hAnsi="Times New Roman" w:hint="default"/>
      </w:rPr>
    </w:lvl>
    <w:lvl w:ilvl="1" w:tplc="04060003">
      <w:start w:val="1"/>
      <w:numFmt w:val="bullet"/>
      <w:lvlText w:val="o"/>
      <w:lvlJc w:val="left"/>
      <w:pPr>
        <w:tabs>
          <w:tab w:val="num" w:pos="2384"/>
        </w:tabs>
        <w:ind w:left="2384" w:hanging="360"/>
      </w:pPr>
      <w:rPr>
        <w:rFonts w:ascii="Courier New" w:hAnsi="Courier New" w:cs="Courier New" w:hint="default"/>
      </w:rPr>
    </w:lvl>
    <w:lvl w:ilvl="2" w:tplc="04060005">
      <w:start w:val="1"/>
      <w:numFmt w:val="bullet"/>
      <w:lvlText w:val=""/>
      <w:lvlJc w:val="left"/>
      <w:pPr>
        <w:tabs>
          <w:tab w:val="num" w:pos="3104"/>
        </w:tabs>
        <w:ind w:left="3104" w:hanging="360"/>
      </w:pPr>
      <w:rPr>
        <w:rFonts w:ascii="Wingdings" w:hAnsi="Wingdings" w:cs="Times New Roman" w:hint="default"/>
      </w:rPr>
    </w:lvl>
    <w:lvl w:ilvl="3" w:tplc="04060001">
      <w:start w:val="1"/>
      <w:numFmt w:val="bullet"/>
      <w:lvlText w:val=""/>
      <w:lvlJc w:val="left"/>
      <w:pPr>
        <w:tabs>
          <w:tab w:val="num" w:pos="3824"/>
        </w:tabs>
        <w:ind w:left="3824" w:hanging="360"/>
      </w:pPr>
      <w:rPr>
        <w:rFonts w:ascii="Symbol" w:hAnsi="Symbol" w:cs="Times New Roman" w:hint="default"/>
      </w:rPr>
    </w:lvl>
    <w:lvl w:ilvl="4" w:tplc="04060003">
      <w:start w:val="1"/>
      <w:numFmt w:val="bullet"/>
      <w:lvlText w:val="o"/>
      <w:lvlJc w:val="left"/>
      <w:pPr>
        <w:tabs>
          <w:tab w:val="num" w:pos="4544"/>
        </w:tabs>
        <w:ind w:left="4544" w:hanging="360"/>
      </w:pPr>
      <w:rPr>
        <w:rFonts w:ascii="Courier New" w:hAnsi="Courier New" w:cs="Courier New" w:hint="default"/>
      </w:rPr>
    </w:lvl>
    <w:lvl w:ilvl="5" w:tplc="04060005">
      <w:start w:val="1"/>
      <w:numFmt w:val="bullet"/>
      <w:lvlText w:val=""/>
      <w:lvlJc w:val="left"/>
      <w:pPr>
        <w:tabs>
          <w:tab w:val="num" w:pos="5264"/>
        </w:tabs>
        <w:ind w:left="5264" w:hanging="360"/>
      </w:pPr>
      <w:rPr>
        <w:rFonts w:ascii="Wingdings" w:hAnsi="Wingdings" w:cs="Times New Roman" w:hint="default"/>
      </w:rPr>
    </w:lvl>
    <w:lvl w:ilvl="6" w:tplc="04060001">
      <w:start w:val="1"/>
      <w:numFmt w:val="bullet"/>
      <w:lvlText w:val=""/>
      <w:lvlJc w:val="left"/>
      <w:pPr>
        <w:tabs>
          <w:tab w:val="num" w:pos="5984"/>
        </w:tabs>
        <w:ind w:left="5984" w:hanging="360"/>
      </w:pPr>
      <w:rPr>
        <w:rFonts w:ascii="Symbol" w:hAnsi="Symbol" w:cs="Times New Roman" w:hint="default"/>
      </w:rPr>
    </w:lvl>
    <w:lvl w:ilvl="7" w:tplc="04060003">
      <w:start w:val="1"/>
      <w:numFmt w:val="bullet"/>
      <w:lvlText w:val="o"/>
      <w:lvlJc w:val="left"/>
      <w:pPr>
        <w:tabs>
          <w:tab w:val="num" w:pos="6704"/>
        </w:tabs>
        <w:ind w:left="6704" w:hanging="360"/>
      </w:pPr>
      <w:rPr>
        <w:rFonts w:ascii="Courier New" w:hAnsi="Courier New" w:cs="Courier New" w:hint="default"/>
      </w:rPr>
    </w:lvl>
    <w:lvl w:ilvl="8" w:tplc="04060005">
      <w:start w:val="1"/>
      <w:numFmt w:val="bullet"/>
      <w:lvlText w:val=""/>
      <w:lvlJc w:val="left"/>
      <w:pPr>
        <w:tabs>
          <w:tab w:val="num" w:pos="7424"/>
        </w:tabs>
        <w:ind w:left="7424" w:hanging="360"/>
      </w:pPr>
      <w:rPr>
        <w:rFonts w:ascii="Wingdings" w:hAnsi="Wingdings" w:cs="Times New Roman" w:hint="default"/>
      </w:rPr>
    </w:lvl>
  </w:abstractNum>
  <w:abstractNum w:abstractNumId="3" w15:restartNumberingAfterBreak="0">
    <w:nsid w:val="621206E0"/>
    <w:multiLevelType w:val="hybridMultilevel"/>
    <w:tmpl w:val="39C48736"/>
    <w:lvl w:ilvl="0" w:tplc="05922336">
      <w:numFmt w:val="bullet"/>
      <w:lvlText w:val=""/>
      <w:lvlJc w:val="left"/>
      <w:pPr>
        <w:tabs>
          <w:tab w:val="num" w:pos="480"/>
        </w:tabs>
        <w:ind w:left="480" w:hanging="360"/>
      </w:pPr>
      <w:rPr>
        <w:rFonts w:ascii="Symbol" w:eastAsia="Times New Roman" w:hAnsi="Symbol" w:cs="Times New Roman" w:hint="default"/>
      </w:rPr>
    </w:lvl>
    <w:lvl w:ilvl="1" w:tplc="04060003">
      <w:start w:val="1"/>
      <w:numFmt w:val="bullet"/>
      <w:lvlText w:val="o"/>
      <w:lvlJc w:val="left"/>
      <w:pPr>
        <w:tabs>
          <w:tab w:val="num" w:pos="1200"/>
        </w:tabs>
        <w:ind w:left="1200" w:hanging="360"/>
      </w:pPr>
      <w:rPr>
        <w:rFonts w:ascii="Courier New" w:hAnsi="Courier New" w:cs="Courier New" w:hint="default"/>
      </w:rPr>
    </w:lvl>
    <w:lvl w:ilvl="2" w:tplc="04060005" w:tentative="1">
      <w:start w:val="1"/>
      <w:numFmt w:val="bullet"/>
      <w:lvlText w:val=""/>
      <w:lvlJc w:val="left"/>
      <w:pPr>
        <w:tabs>
          <w:tab w:val="num" w:pos="1920"/>
        </w:tabs>
        <w:ind w:left="1920" w:hanging="360"/>
      </w:pPr>
      <w:rPr>
        <w:rFonts w:ascii="Wingdings" w:hAnsi="Wingdings" w:hint="default"/>
      </w:rPr>
    </w:lvl>
    <w:lvl w:ilvl="3" w:tplc="04060001" w:tentative="1">
      <w:start w:val="1"/>
      <w:numFmt w:val="bullet"/>
      <w:lvlText w:val=""/>
      <w:lvlJc w:val="left"/>
      <w:pPr>
        <w:tabs>
          <w:tab w:val="num" w:pos="2640"/>
        </w:tabs>
        <w:ind w:left="2640" w:hanging="360"/>
      </w:pPr>
      <w:rPr>
        <w:rFonts w:ascii="Symbol" w:hAnsi="Symbol" w:hint="default"/>
      </w:rPr>
    </w:lvl>
    <w:lvl w:ilvl="4" w:tplc="04060003" w:tentative="1">
      <w:start w:val="1"/>
      <w:numFmt w:val="bullet"/>
      <w:lvlText w:val="o"/>
      <w:lvlJc w:val="left"/>
      <w:pPr>
        <w:tabs>
          <w:tab w:val="num" w:pos="3360"/>
        </w:tabs>
        <w:ind w:left="3360" w:hanging="360"/>
      </w:pPr>
      <w:rPr>
        <w:rFonts w:ascii="Courier New" w:hAnsi="Courier New" w:cs="Courier New" w:hint="default"/>
      </w:rPr>
    </w:lvl>
    <w:lvl w:ilvl="5" w:tplc="04060005" w:tentative="1">
      <w:start w:val="1"/>
      <w:numFmt w:val="bullet"/>
      <w:lvlText w:val=""/>
      <w:lvlJc w:val="left"/>
      <w:pPr>
        <w:tabs>
          <w:tab w:val="num" w:pos="4080"/>
        </w:tabs>
        <w:ind w:left="4080" w:hanging="360"/>
      </w:pPr>
      <w:rPr>
        <w:rFonts w:ascii="Wingdings" w:hAnsi="Wingdings" w:hint="default"/>
      </w:rPr>
    </w:lvl>
    <w:lvl w:ilvl="6" w:tplc="04060001" w:tentative="1">
      <w:start w:val="1"/>
      <w:numFmt w:val="bullet"/>
      <w:lvlText w:val=""/>
      <w:lvlJc w:val="left"/>
      <w:pPr>
        <w:tabs>
          <w:tab w:val="num" w:pos="4800"/>
        </w:tabs>
        <w:ind w:left="4800" w:hanging="360"/>
      </w:pPr>
      <w:rPr>
        <w:rFonts w:ascii="Symbol" w:hAnsi="Symbol" w:hint="default"/>
      </w:rPr>
    </w:lvl>
    <w:lvl w:ilvl="7" w:tplc="04060003" w:tentative="1">
      <w:start w:val="1"/>
      <w:numFmt w:val="bullet"/>
      <w:lvlText w:val="o"/>
      <w:lvlJc w:val="left"/>
      <w:pPr>
        <w:tabs>
          <w:tab w:val="num" w:pos="5520"/>
        </w:tabs>
        <w:ind w:left="5520" w:hanging="360"/>
      </w:pPr>
      <w:rPr>
        <w:rFonts w:ascii="Courier New" w:hAnsi="Courier New" w:cs="Courier New" w:hint="default"/>
      </w:rPr>
    </w:lvl>
    <w:lvl w:ilvl="8" w:tplc="04060005" w:tentative="1">
      <w:start w:val="1"/>
      <w:numFmt w:val="bullet"/>
      <w:lvlText w:val=""/>
      <w:lvlJc w:val="left"/>
      <w:pPr>
        <w:tabs>
          <w:tab w:val="num" w:pos="6240"/>
        </w:tabs>
        <w:ind w:left="6240" w:hanging="360"/>
      </w:pPr>
      <w:rPr>
        <w:rFonts w:ascii="Wingdings" w:hAnsi="Wingdings" w:hint="default"/>
      </w:rPr>
    </w:lvl>
  </w:abstractNum>
  <w:abstractNum w:abstractNumId="4" w15:restartNumberingAfterBreak="0">
    <w:nsid w:val="75643CC5"/>
    <w:multiLevelType w:val="hybridMultilevel"/>
    <w:tmpl w:val="F8DA8436"/>
    <w:lvl w:ilvl="0" w:tplc="7AAEFDCA">
      <w:start w:val="1"/>
      <w:numFmt w:val="decimal"/>
      <w:lvlText w:val="%1)"/>
      <w:lvlJc w:val="left"/>
      <w:pPr>
        <w:tabs>
          <w:tab w:val="num" w:pos="720"/>
        </w:tabs>
        <w:ind w:left="720" w:hanging="360"/>
      </w:pPr>
      <w:rPr>
        <w:rFonts w:ascii="Times New Roman" w:eastAsiaTheme="minorHAnsi" w:hAnsi="Times New Roman" w:cs="Times New Roman"/>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F8"/>
    <w:rsid w:val="0016106E"/>
    <w:rsid w:val="00301CED"/>
    <w:rsid w:val="00375A9B"/>
    <w:rsid w:val="003B0AC4"/>
    <w:rsid w:val="0048221A"/>
    <w:rsid w:val="00526B7F"/>
    <w:rsid w:val="00585972"/>
    <w:rsid w:val="005F537D"/>
    <w:rsid w:val="007562EF"/>
    <w:rsid w:val="008A6008"/>
    <w:rsid w:val="00955DC5"/>
    <w:rsid w:val="00AC13AB"/>
    <w:rsid w:val="00B9776D"/>
    <w:rsid w:val="00C3555D"/>
    <w:rsid w:val="00D96E6C"/>
    <w:rsid w:val="00E8280C"/>
    <w:rsid w:val="00E97275"/>
    <w:rsid w:val="00F005A1"/>
    <w:rsid w:val="00FE3A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BA27F-C4EC-4A25-BE4C-E706625A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AF8"/>
    <w:pPr>
      <w:spacing w:after="0" w:line="240" w:lineRule="auto"/>
    </w:pPr>
    <w:rPr>
      <w:rFonts w:ascii="Times New Roman" w:hAnsi="Times New Roman" w:cs="Times New Roman"/>
      <w:sz w:val="24"/>
      <w:szCs w:val="24"/>
      <w:lang w:eastAsia="da-DK"/>
    </w:rPr>
  </w:style>
  <w:style w:type="paragraph" w:styleId="Overskrift1">
    <w:name w:val="heading 1"/>
    <w:basedOn w:val="Normal"/>
    <w:next w:val="Normal"/>
    <w:link w:val="Overskrift1Tegn"/>
    <w:qFormat/>
    <w:rsid w:val="00E8280C"/>
    <w:pPr>
      <w:keepNext/>
      <w:outlineLvl w:val="0"/>
    </w:pPr>
    <w:rPr>
      <w:rFonts w:eastAsia="Times New Roman"/>
      <w:b/>
      <w:b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FE3AF8"/>
    <w:pPr>
      <w:spacing w:after="0" w:line="240" w:lineRule="auto"/>
    </w:pPr>
  </w:style>
  <w:style w:type="paragraph" w:styleId="Listeafsnit">
    <w:name w:val="List Paragraph"/>
    <w:basedOn w:val="Normal"/>
    <w:uiPriority w:val="99"/>
    <w:qFormat/>
    <w:rsid w:val="00375A9B"/>
    <w:pPr>
      <w:ind w:left="720"/>
      <w:contextualSpacing/>
    </w:pPr>
    <w:rPr>
      <w:rFonts w:eastAsia="Calibri"/>
      <w:szCs w:val="22"/>
      <w:lang w:eastAsia="en-US"/>
    </w:rPr>
  </w:style>
  <w:style w:type="character" w:customStyle="1" w:styleId="Overskrift1Tegn">
    <w:name w:val="Overskrift 1 Tegn"/>
    <w:basedOn w:val="Standardskrifttypeiafsnit"/>
    <w:link w:val="Overskrift1"/>
    <w:rsid w:val="00E8280C"/>
    <w:rPr>
      <w:rFonts w:ascii="Times New Roman" w:eastAsia="Times New Roman" w:hAnsi="Times New Roman" w:cs="Times New Roman"/>
      <w:b/>
      <w:bCs/>
      <w:sz w:val="24"/>
      <w:szCs w:val="24"/>
      <w:lang w:eastAsia="da-DK"/>
    </w:rPr>
  </w:style>
  <w:style w:type="paragraph" w:styleId="Fodnotetekst">
    <w:name w:val="footnote text"/>
    <w:basedOn w:val="Normal"/>
    <w:link w:val="FodnotetekstTegn"/>
    <w:semiHidden/>
    <w:rsid w:val="00E8280C"/>
    <w:rPr>
      <w:rFonts w:eastAsia="Times New Roman"/>
      <w:sz w:val="20"/>
      <w:szCs w:val="20"/>
    </w:rPr>
  </w:style>
  <w:style w:type="character" w:customStyle="1" w:styleId="FodnotetekstTegn">
    <w:name w:val="Fodnotetekst Tegn"/>
    <w:basedOn w:val="Standardskrifttypeiafsnit"/>
    <w:link w:val="Fodnotetekst"/>
    <w:semiHidden/>
    <w:rsid w:val="00E8280C"/>
    <w:rPr>
      <w:rFonts w:ascii="Times New Roman" w:eastAsia="Times New Roman" w:hAnsi="Times New Roman" w:cs="Times New Roman"/>
      <w:sz w:val="20"/>
      <w:szCs w:val="20"/>
      <w:lang w:eastAsia="da-DK"/>
    </w:rPr>
  </w:style>
  <w:style w:type="character" w:styleId="Fodnotehenvisning">
    <w:name w:val="footnote reference"/>
    <w:basedOn w:val="Standardskrifttypeiafsnit"/>
    <w:semiHidden/>
    <w:rsid w:val="00E8280C"/>
    <w:rPr>
      <w:vertAlign w:val="superscript"/>
    </w:rPr>
  </w:style>
  <w:style w:type="paragraph" w:styleId="Markeringsbobletekst">
    <w:name w:val="Balloon Text"/>
    <w:basedOn w:val="Normal"/>
    <w:link w:val="MarkeringsbobletekstTegn"/>
    <w:uiPriority w:val="99"/>
    <w:semiHidden/>
    <w:unhideWhenUsed/>
    <w:rsid w:val="00585972"/>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85972"/>
    <w:rPr>
      <w:rFonts w:ascii="Segoe UI" w:hAnsi="Segoe UI" w:cs="Segoe UI"/>
      <w:sz w:val="18"/>
      <w:szCs w:val="18"/>
      <w:lang w:eastAsia="da-DK"/>
    </w:rPr>
  </w:style>
  <w:style w:type="character" w:styleId="Hyperlink">
    <w:name w:val="Hyperlink"/>
    <w:basedOn w:val="Standardskrifttypeiafsnit"/>
    <w:uiPriority w:val="99"/>
    <w:unhideWhenUsed/>
    <w:rsid w:val="007562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kpi.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811</Words>
  <Characters>4951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dc:creator>
  <cp:keywords/>
  <dc:description/>
  <cp:lastModifiedBy>Carsten</cp:lastModifiedBy>
  <cp:revision>4</cp:revision>
  <cp:lastPrinted>2016-07-04T11:31:00Z</cp:lastPrinted>
  <dcterms:created xsi:type="dcterms:W3CDTF">2016-07-04T11:07:00Z</dcterms:created>
  <dcterms:modified xsi:type="dcterms:W3CDTF">2016-07-04T11:31:00Z</dcterms:modified>
</cp:coreProperties>
</file>